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Tarjousten vertailutaulukko</w:t>
      </w:r>
    </w:p>
    <w:p>
      <w:pPr>
        <w:pStyle w:val="Normal"/>
      </w:pPr>
      <w:r>
        <w:t xml:space="preserve">Omaan käyttöön. Täytä tarjousten saavuttua ja vertaile samaa laajuutta sekä samoja veroperusteita. Taulukkoa ei tarvitse lähettää toimittajille.</w:t>
      </w:r>
    </w:p>
    <w:tbl>
      <w:tblPr>
        <w:tblW w:w="900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00" w:type="dxa"/>
          <w:bottom w:w="90" w:type="dxa"/>
          <w:right w:w="100" w:type="dxa"/>
        </w:tblCellMar>
      </w:tblPr>
      <w:tblGrid>
        <w:gridCol w:w="3000"/>
        <w:gridCol w:w="2000"/>
        <w:gridCol w:w="2000"/>
        <w:gridCol w:w="2000"/>
      </w:tblGrid>
      <w:tr>
        <w:trPr>
          <w:tblHeader/>
        </w:trPr>
        <w:tc>
          <w:tcPr>
            <w:tcW w:w="3000" w:type="dxa"/>
            <w:vAlign w:val="center"/>
            <w:shd w:fill="E8EEF0"/>
          </w:tcPr>
          <w:p>
            <w:pPr>
              <w:pStyle w:val="TableText"/>
            </w:pPr>
            <w:r>
              <w:t xml:space="preserve">Vertailtava asia</w:t>
            </w:r>
          </w:p>
        </w:tc>
        <w:tc>
          <w:tcPr>
            <w:tcW w:w="2000" w:type="dxa"/>
            <w:vAlign w:val="center"/>
            <w:shd w:fill="E8EEF0"/>
          </w:tcPr>
          <w:p>
            <w:pPr>
              <w:pStyle w:val="TableText"/>
            </w:pPr>
            <w:r>
              <w:t xml:space="preserve">Tarjous A</w:t>
            </w:r>
          </w:p>
        </w:tc>
        <w:tc>
          <w:tcPr>
            <w:tcW w:w="2000" w:type="dxa"/>
            <w:vAlign w:val="center"/>
            <w:shd w:fill="E8EEF0"/>
          </w:tcPr>
          <w:p>
            <w:pPr>
              <w:pStyle w:val="TableText"/>
            </w:pPr>
            <w:r>
              <w:t xml:space="preserve">Tarjous B</w:t>
            </w:r>
          </w:p>
        </w:tc>
        <w:tc>
          <w:tcPr>
            <w:tcW w:w="2000" w:type="dxa"/>
            <w:vAlign w:val="center"/>
            <w:shd w:fill="E8EEF0"/>
          </w:tcPr>
          <w:p>
            <w:pPr>
              <w:pStyle w:val="TableText"/>
            </w:pPr>
            <w:r>
              <w:t xml:space="preserve">Tarjous C</w:t>
            </w:r>
          </w:p>
        </w:tc>
      </w:tr>
      <w:tr>
        <w:trPr>
          <w:cantSplit/>
        </w:trPr>
        <w:tc>
          <w:tcPr>
            <w:tcW w:w="3000" w:type="dxa"/>
            <w:vAlign w:val="center"/>
          </w:tcPr>
          <w:p>
            <w:pPr>
              <w:pStyle w:val="TableText"/>
            </w:pPr>
            <w:r>
              <w:t xml:space="preserve">Toimittajan nimi</w:t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000" w:type="dxa"/>
            <w:vAlign w:val="center"/>
          </w:tcPr>
          <w:p>
            <w:pPr>
              <w:pStyle w:val="TableText"/>
            </w:pPr>
            <w:r>
              <w:t xml:space="preserve">Toteutuksen kertahinta</w:t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000" w:type="dxa"/>
            <w:vAlign w:val="center"/>
          </w:tcPr>
          <w:p>
            <w:pPr>
              <w:pStyle w:val="TableText"/>
            </w:pPr>
            <w:r>
              <w:t xml:space="preserve">Jatkuvat kulut / vuosi</w:t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000" w:type="dxa"/>
            <w:vAlign w:val="center"/>
          </w:tcPr>
          <w:p>
            <w:pPr>
              <w:pStyle w:val="TableText"/>
            </w:pPr>
            <w:r>
              <w:t xml:space="preserve">Arvioitu kokonaiskulu 3 vuodessa</w:t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000" w:type="dxa"/>
            <w:vAlign w:val="center"/>
          </w:tcPr>
          <w:p>
            <w:pPr>
              <w:pStyle w:val="TableText"/>
            </w:pPr>
            <w:r>
              <w:t xml:space="preserve">Hintojen ALV-käsittely</w:t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000" w:type="dxa"/>
            <w:vAlign w:val="center"/>
          </w:tcPr>
          <w:p>
            <w:pPr>
              <w:pStyle w:val="TableText"/>
            </w:pPr>
            <w:r>
              <w:t xml:space="preserve">Laajuus ja tärkeimmät rajaukset</w:t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000" w:type="dxa"/>
            <w:vAlign w:val="center"/>
          </w:tcPr>
          <w:p>
            <w:pPr>
              <w:pStyle w:val="TableText"/>
            </w:pPr>
            <w:r>
              <w:t xml:space="preserve">Tekstit, kuvat ja sisällönsyöttö</w:t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000" w:type="dxa"/>
            <w:vAlign w:val="center"/>
          </w:tcPr>
          <w:p>
            <w:pPr>
              <w:pStyle w:val="TableText"/>
            </w:pPr>
            <w:r>
              <w:t xml:space="preserve">Toiminnot ja integraatiot</w:t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000" w:type="dxa"/>
            <w:vAlign w:val="center"/>
          </w:tcPr>
          <w:p>
            <w:pPr>
              <w:pStyle w:val="TableText"/>
            </w:pPr>
            <w:r>
              <w:t xml:space="preserve">Aikataulu ja oma työmäärä</w:t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000" w:type="dxa"/>
            <w:vAlign w:val="center"/>
          </w:tcPr>
          <w:p>
            <w:pPr>
              <w:pStyle w:val="TableText"/>
            </w:pPr>
            <w:r>
              <w:t xml:space="preserve">Ylläpito ja tuen vasteaika</w:t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000" w:type="dxa"/>
            <w:vAlign w:val="center"/>
          </w:tcPr>
          <w:p>
            <w:pPr>
              <w:pStyle w:val="TableText"/>
            </w:pPr>
            <w:r>
              <w:t xml:space="preserve">Omistajuus ja siirrettävyys</w:t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000" w:type="dxa"/>
            <w:vAlign w:val="center"/>
          </w:tcPr>
          <w:p>
            <w:pPr>
              <w:pStyle w:val="TableText"/>
            </w:pPr>
            <w:r>
              <w:t xml:space="preserve">Referenssit ja soveltuvuus</w:t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000" w:type="dxa"/>
            <w:vAlign w:val="center"/>
          </w:tcPr>
          <w:p>
            <w:pPr>
              <w:pStyle w:val="TableText"/>
            </w:pPr>
            <w:r>
              <w:t xml:space="preserve">Avoimet kysymykset</w:t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pStyle w:val="TableText"/>
            </w:pPr>
            <w:r>
              <w:t xml:space="preserve"/>
            </w:r>
          </w:p>
        </w:tc>
      </w:tr>
    </w:tbl>
    <w:p>
      <w:pPr>
        <w:pStyle w:val="Hint"/>
      </w:pPr>
      <w:r>
        <w:t xml:space="preserve">Kolmen vuoden kustannusarvio: kertahinta + 3 × vuosikulut + tiedossa olevat lisätyöt. Merkitse oletukset. Halvin kertahinta ei välttämättä tarkoita pienimpiä kokonaiskuluja.</w:t>
      </w:r>
    </w:p>
    <w:p>
      <w:pPr>
        <w:pStyle w:val="Heading2"/>
      </w:pPr>
      <w:r>
        <w:t xml:space="preserve">Valinta ja perustelut</w:t>
      </w:r>
    </w:p>
    <w:sdt>
      <w:sdtPr>
        <w:alias w:val="selection"/>
        <w:tag w:val="selection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sectPr>
      <w:pgSz w:w="11906" w:h="16838"/>
      <w:pgMar w:top="1100" w:right="1453" w:bottom="1100" w:left="1453" w:header="500" w:footer="500"/>
      <w:cols w:space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  <w:color w:val="000000"/>
        <w:lang w:val="fi-FI"/>
      </w:rPr>
    </w:rPrDefault>
    <w:pPrDefault>
      <w:pPr>
        <w:spacing w:after="130" w:line="27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before="0" w:after="240"/>
    </w:pPr>
    <w:rPr>
      <w:b/>
      <w:sz w:val="40"/>
      <w:color w:val="000000"/>
    </w:rPr>
  </w:style>
  <w:style w:type="paragraph" w:styleId="Heading1">
    <w:name w:val="heading 1"/>
    <w:basedOn w:val="Normal"/>
    <w:pPr>
      <w:keepNext/>
      <w:outlineLvl w:val="0"/>
      <w:spacing w:before="100" w:after="200"/>
    </w:pPr>
    <w:rPr>
      <w:b/>
      <w:sz w:val="30"/>
      <w:color w:val="000000"/>
    </w:rPr>
  </w:style>
  <w:style w:type="paragraph" w:styleId="Heading2">
    <w:name w:val="heading 2"/>
    <w:basedOn w:val="Normal"/>
    <w:pPr>
      <w:keepNext/>
      <w:outlineLvl w:val="1"/>
      <w:spacing w:before="170" w:after="55"/>
    </w:pPr>
    <w:rPr>
      <w:b/>
      <w:sz w:val="22"/>
      <w:color w:val="000000"/>
    </w:rPr>
  </w:style>
  <w:style w:type="paragraph" w:styleId="Hint">
    <w:name w:val="Hint"/>
    <w:basedOn w:val="Normal"/>
    <w:pPr>
      <w:keepNext/>
      <w:spacing w:after="75" w:line="240" w:lineRule="auto"/>
    </w:pPr>
    <w:rPr>
      <w:sz w:val="19"/>
      <w:color w:val="505050"/>
    </w:rPr>
  </w:style>
  <w:style w:type="paragraph" w:styleId="Answer">
    <w:name w:val="Answer"/>
    <w:basedOn w:val="Normal"/>
    <w:pPr>
      <w:spacing w:after="160"/>
    </w:pPr>
  </w:style>
  <w:style w:type="paragraph" w:styleId="TableText">
    <w:name w:val="TableText"/>
    <w:basedOn w:val="Normal"/>
    <w:pPr>
      <w:spacing w:after="0" w:line="225" w:lineRule="auto"/>
    </w:pPr>
    <w:rPr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/Relationships>
</file>